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22" w:rsidRDefault="00A53F04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 w:rsidRPr="00A53F0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.05pt;margin-top:6.8pt;width:445pt;height:93.8pt;z-index:251658240;visibility:visible" filled="f" stroked="f">
            <v:fill o:detectmouseclick="t"/>
            <v:textbox style="mso-next-textbox:#Поле 7">
              <w:txbxContent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24"/>
                      <w:szCs w:val="24"/>
                    </w:rPr>
                  </w:pPr>
                </w:p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32"/>
                      <w:szCs w:val="32"/>
                    </w:rPr>
                  </w:pPr>
                  <w:r w:rsidRPr="007665F9"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32"/>
                      <w:szCs w:val="32"/>
                    </w:rPr>
                    <w:t>Профилактика Коронавирусной инфекции</w:t>
                  </w:r>
                </w:p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24"/>
                      <w:szCs w:val="24"/>
                    </w:rPr>
                  </w:pPr>
                  <w:r w:rsidRPr="007665F9"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24"/>
                      <w:szCs w:val="24"/>
                    </w:rPr>
                    <w:t>(рекомендации по организации работы образовательных организаций)</w:t>
                  </w:r>
                </w:p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Verdana" w:hAnsi="Verdana" w:cs="Verdana"/>
                      <w:b/>
                      <w:bCs/>
                      <w:color w:val="B4DCFA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10108" w:type="dxa"/>
        <w:tblInd w:w="-106" w:type="dxa"/>
        <w:tblLayout w:type="fixed"/>
        <w:tblLook w:val="00A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bookmarkStart w:id="0" w:name="_GoBack"/>
            <w:bookmarkEnd w:id="0"/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«ЦГиЭ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/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93624"/>
    <w:rsid w:val="00CC4A80"/>
    <w:rsid w:val="00CD6BDC"/>
    <w:rsid w:val="00CE4A86"/>
    <w:rsid w:val="00E65C63"/>
    <w:rsid w:val="00F5709F"/>
    <w:rsid w:val="00F6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Колесник</cp:lastModifiedBy>
  <cp:revision>2</cp:revision>
  <cp:lastPrinted>2020-08-26T11:42:00Z</cp:lastPrinted>
  <dcterms:created xsi:type="dcterms:W3CDTF">2020-08-27T15:12:00Z</dcterms:created>
  <dcterms:modified xsi:type="dcterms:W3CDTF">2020-08-27T15:12:00Z</dcterms:modified>
</cp:coreProperties>
</file>