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27" w:rsidRPr="00485727" w:rsidRDefault="001C4F7E" w:rsidP="00485727">
      <w:pPr>
        <w:shd w:val="clear" w:color="auto" w:fill="9CC2E5" w:themeFill="accent1" w:themeFillTint="99"/>
        <w:jc w:val="center"/>
        <w:rPr>
          <w:rFonts w:ascii="Arial" w:eastAsia="Times New Roman" w:hAnsi="Arial" w:cs="Arial"/>
          <w:b/>
          <w:bCs/>
          <w:color w:val="FFFFFF"/>
          <w:sz w:val="54"/>
          <w:szCs w:val="54"/>
          <w:lang w:eastAsia="ru-RU"/>
        </w:rPr>
      </w:pPr>
      <w:r>
        <w:fldChar w:fldCharType="begin"/>
      </w:r>
      <w:r>
        <w:instrText xml:space="preserve"> HYPERLINK "https://dni-fg.ru/" </w:instrText>
      </w:r>
      <w:r>
        <w:fldChar w:fldCharType="separate"/>
      </w:r>
      <w:r w:rsidR="00485727" w:rsidRPr="00485727">
        <w:rPr>
          <w:rFonts w:ascii="Arial" w:eastAsia="Times New Roman" w:hAnsi="Arial" w:cs="Arial"/>
          <w:b/>
          <w:bCs/>
          <w:color w:val="FFFFFF"/>
          <w:sz w:val="54"/>
          <w:szCs w:val="54"/>
          <w:u w:val="single"/>
          <w:bdr w:val="none" w:sz="0" w:space="0" w:color="auto" w:frame="1"/>
          <w:lang w:eastAsia="ru-RU"/>
        </w:rPr>
        <w:t>Онлайн-уроки финансовой грамотности</w:t>
      </w:r>
      <w:r>
        <w:rPr>
          <w:rFonts w:ascii="Arial" w:eastAsia="Times New Roman" w:hAnsi="Arial" w:cs="Arial"/>
          <w:b/>
          <w:bCs/>
          <w:color w:val="FFFFFF"/>
          <w:sz w:val="54"/>
          <w:szCs w:val="54"/>
          <w:u w:val="single"/>
          <w:bdr w:val="none" w:sz="0" w:space="0" w:color="auto" w:frame="1"/>
          <w:lang w:eastAsia="ru-RU"/>
        </w:rPr>
        <w:fldChar w:fldCharType="end"/>
      </w:r>
    </w:p>
    <w:p w:rsidR="00485727" w:rsidRPr="00485727" w:rsidRDefault="00485727" w:rsidP="00485727">
      <w:pPr>
        <w:shd w:val="clear" w:color="auto" w:fill="9CC2E5" w:themeFill="accent1" w:themeFillTint="99"/>
        <w:spacing w:line="240" w:lineRule="auto"/>
        <w:jc w:val="center"/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</w:pPr>
      <w:r w:rsidRPr="00485727">
        <w:rPr>
          <w:rFonts w:ascii="Arial" w:eastAsia="Times New Roman" w:hAnsi="Arial" w:cs="Arial"/>
          <w:color w:val="2E74B5" w:themeColor="accent1" w:themeShade="BF"/>
          <w:sz w:val="36"/>
          <w:szCs w:val="36"/>
          <w:lang w:eastAsia="ru-RU"/>
        </w:rPr>
        <w:t>для учащихся средних и общих образовательных организаций, профессиональных образовательных организаций, организаций для детей-сирот и детей, оставшихся без попечения родителей</w:t>
      </w:r>
      <w:r w:rsidRPr="00485727">
        <w:rPr>
          <w:rFonts w:ascii="Arial" w:eastAsia="Times New Roman" w:hAnsi="Arial" w:cs="Arial"/>
          <w:color w:val="2E74B5" w:themeColor="accent1" w:themeShade="BF"/>
          <w:sz w:val="36"/>
          <w:szCs w:val="36"/>
          <w:lang w:eastAsia="ru-RU"/>
        </w:rPr>
        <w:br/>
      </w:r>
      <w:r w:rsidRPr="00485727">
        <w:rPr>
          <w:rFonts w:ascii="Arial" w:eastAsia="Times New Roman" w:hAnsi="Arial" w:cs="Arial"/>
          <w:color w:val="2E74B5" w:themeColor="accent1" w:themeShade="BF"/>
          <w:sz w:val="36"/>
          <w:szCs w:val="36"/>
          <w:lang w:eastAsia="ru-RU"/>
        </w:rPr>
        <w:br/>
      </w:r>
      <w:r w:rsidRPr="00485727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t>Организатором проекта выступает</w:t>
      </w:r>
      <w:r w:rsidRPr="00485727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br/>
        <w:t>Центральный банк Российской Федерации.</w:t>
      </w:r>
    </w:p>
    <w:p w:rsidR="00485727" w:rsidRPr="00485727" w:rsidRDefault="00E35CC0" w:rsidP="00485727">
      <w:pPr>
        <w:shd w:val="clear" w:color="auto" w:fill="9CC2E5" w:themeFill="accent1" w:themeFillTint="99"/>
        <w:spacing w:line="240" w:lineRule="auto"/>
        <w:jc w:val="center"/>
        <w:rPr>
          <w:rFonts w:ascii="Arial" w:eastAsia="Times New Roman" w:hAnsi="Arial" w:cs="Arial"/>
          <w:b/>
          <w:bCs/>
          <w:color w:val="FFFFFF"/>
          <w:sz w:val="40"/>
          <w:szCs w:val="40"/>
          <w:lang w:eastAsia="ru-RU"/>
        </w:rPr>
      </w:pPr>
      <w:hyperlink r:id="rId5" w:history="1">
        <w:r w:rsidR="00485727" w:rsidRPr="00485727">
          <w:rPr>
            <w:rStyle w:val="a3"/>
            <w:b/>
            <w:sz w:val="40"/>
            <w:szCs w:val="40"/>
          </w:rPr>
          <w:t>https://dni-fg.ru/</w:t>
        </w:r>
      </w:hyperlink>
    </w:p>
    <w:p w:rsidR="00485727" w:rsidRPr="00485727" w:rsidRDefault="00485727" w:rsidP="00485727">
      <w:pPr>
        <w:shd w:val="clear" w:color="auto" w:fill="5B9BD5" w:themeFill="accent1"/>
        <w:spacing w:line="240" w:lineRule="auto"/>
        <w:rPr>
          <w:rFonts w:ascii="Arial" w:eastAsia="Times New Roman" w:hAnsi="Arial" w:cs="Arial"/>
          <w:color w:val="FFFFFF"/>
          <w:sz w:val="36"/>
          <w:szCs w:val="36"/>
          <w:lang w:eastAsia="ru-RU"/>
        </w:rPr>
      </w:pPr>
      <w:r>
        <w:t xml:space="preserve">     </w:t>
      </w:r>
    </w:p>
    <w:p w:rsidR="00485727" w:rsidRDefault="00485727"/>
    <w:p w:rsidR="00634F01" w:rsidRDefault="00485727">
      <w:r>
        <w:rPr>
          <w:noProof/>
          <w:lang w:eastAsia="ru-RU"/>
        </w:rPr>
        <w:drawing>
          <wp:inline distT="0" distB="0" distL="0" distR="0" wp14:anchorId="3AAB1162">
            <wp:extent cx="1143000" cy="1257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3" r="10667" b="12000"/>
                    <a:stretch/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hyperlink r:id="rId7" w:history="1">
        <w:r w:rsidRPr="00485727">
          <w:rPr>
            <w:rStyle w:val="a3"/>
            <w:b/>
            <w:sz w:val="32"/>
            <w:szCs w:val="32"/>
          </w:rPr>
          <w:t>https://dni-fg.ru/calendar</w:t>
        </w:r>
      </w:hyperlink>
      <w:r>
        <w:t xml:space="preserve"> </w:t>
      </w:r>
    </w:p>
    <w:p w:rsidR="00AB0DE9" w:rsidRDefault="00AB0DE9"/>
    <w:p w:rsidR="00AB0DE9" w:rsidRDefault="00AB0DE9"/>
    <w:p w:rsidR="00AB0DE9" w:rsidRDefault="00AB0DE9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A7E11A8" wp14:editId="39B73F84">
                <wp:extent cx="304800" cy="304800"/>
                <wp:effectExtent l="0" t="0" r="0" b="0"/>
                <wp:docPr id="1" name="AutoShape 1" descr="https://thumb.tildacdn.com/tild6634-6632-4136-b465-613931323264/-/resize/700x/-/format/webp/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F91B845" id="AutoShape 1" o:spid="_x0000_s1026" alt="https://thumb.tildacdn.com/tild6634-6632-4136-b465-613931323264/-/resize/700x/-/format/webp/2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XGSrb2AgAA&#10;Ig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40EBF77">
            <wp:extent cx="5429250" cy="304813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477" cy="304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789" w:rsidRPr="008E7789" w:rsidRDefault="008E7789" w:rsidP="008E7789">
      <w:pPr>
        <w:shd w:val="clear" w:color="auto" w:fill="F7F7F7"/>
        <w:spacing w:before="30" w:after="30" w:line="240" w:lineRule="auto"/>
        <w:ind w:left="30" w:right="30"/>
        <w:outlineLvl w:val="0"/>
        <w:rPr>
          <w:rFonts w:ascii="Arial" w:eastAsia="Times New Roman" w:hAnsi="Arial" w:cs="Arial"/>
          <w:b/>
          <w:bCs/>
          <w:color w:val="66737C"/>
          <w:kern w:val="36"/>
          <w:sz w:val="40"/>
          <w:szCs w:val="40"/>
          <w:lang w:eastAsia="ru-RU"/>
        </w:rPr>
      </w:pPr>
      <w:r w:rsidRPr="008E7789">
        <w:rPr>
          <w:rFonts w:ascii="Arial" w:eastAsia="Times New Roman" w:hAnsi="Arial" w:cs="Arial"/>
          <w:b/>
          <w:bCs/>
          <w:color w:val="66737C"/>
          <w:kern w:val="36"/>
          <w:sz w:val="40"/>
          <w:szCs w:val="40"/>
          <w:lang w:eastAsia="ru-RU"/>
        </w:rPr>
        <w:lastRenderedPageBreak/>
        <w:t>Полезные ссылки по финансовой грамотности</w:t>
      </w:r>
    </w:p>
    <w:p w:rsidR="008E7789" w:rsidRDefault="008E7789"/>
    <w:p w:rsidR="008E7789" w:rsidRDefault="008E7789"/>
    <w:p w:rsidR="008E7789" w:rsidRPr="008E7789" w:rsidRDefault="00E35CC0" w:rsidP="008E7789">
      <w:pPr>
        <w:pStyle w:val="1"/>
        <w:shd w:val="clear" w:color="auto" w:fill="F4B083" w:themeFill="accent2" w:themeFillTint="99"/>
        <w:spacing w:before="0"/>
        <w:rPr>
          <w:rFonts w:ascii="Museo-Sans-Cyrl-900" w:eastAsia="Times New Roman" w:hAnsi="Museo-Sans-Cyrl-900" w:cs="Times New Roman"/>
          <w:color w:val="FFFFFF"/>
          <w:kern w:val="36"/>
          <w:sz w:val="57"/>
          <w:szCs w:val="57"/>
          <w:lang w:eastAsia="ru-RU"/>
        </w:rPr>
      </w:pPr>
      <w:hyperlink r:id="rId9" w:history="1">
        <w:r w:rsidR="008E7789" w:rsidRPr="003A2F1A">
          <w:rPr>
            <w:rStyle w:val="a3"/>
          </w:rPr>
          <w:t>https://xn--80atdl2c.xn--80aaeza4ab6aw2b2b.xn--p1ai/</w:t>
        </w:r>
        <w:proofErr w:type="spellStart"/>
        <w:r w:rsidR="008E7789" w:rsidRPr="003A2F1A">
          <w:rPr>
            <w:rStyle w:val="a3"/>
          </w:rPr>
          <w:t>courses.php</w:t>
        </w:r>
        <w:proofErr w:type="spellEnd"/>
      </w:hyperlink>
      <w:r w:rsidR="008E7789">
        <w:t xml:space="preserve"> </w:t>
      </w:r>
      <w:r w:rsidR="008E7789" w:rsidRPr="008E7789">
        <w:rPr>
          <w:rFonts w:ascii="Museo-Sans-Cyrl-900" w:eastAsia="Times New Roman" w:hAnsi="Museo-Sans-Cyrl-900" w:cs="Times New Roman"/>
          <w:color w:val="FFFFFF"/>
          <w:kern w:val="36"/>
          <w:sz w:val="57"/>
          <w:szCs w:val="57"/>
          <w:lang w:eastAsia="ru-RU"/>
        </w:rPr>
        <w:t>Электронный учебник по финансовой грамотности</w:t>
      </w:r>
    </w:p>
    <w:p w:rsidR="008E7789" w:rsidRDefault="008E7789"/>
    <w:p w:rsidR="008E7789" w:rsidRPr="008E7789" w:rsidRDefault="00E35CC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</w:pPr>
      <w:hyperlink r:id="rId10" w:history="1">
        <w:r w:rsidR="008E7789" w:rsidRPr="003A2F1A">
          <w:rPr>
            <w:rStyle w:val="a3"/>
          </w:rPr>
          <w:t>http://финграмотностьвшколе.рф/</w:t>
        </w:r>
      </w:hyperlink>
      <w:r w:rsidR="008E7789">
        <w:t xml:space="preserve"> </w:t>
      </w:r>
      <w:r w:rsidR="008E7789" w:rsidRPr="008E7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Портал для педагогов общеобразовательных учреждений</w:t>
      </w:r>
      <w:r w:rsidR="008E7789" w:rsidRPr="008E7789">
        <w:rPr>
          <w:rFonts w:ascii="Arial" w:hAnsi="Arial" w:cs="Arial"/>
          <w:color w:val="000000" w:themeColor="text1"/>
          <w:sz w:val="20"/>
          <w:szCs w:val="20"/>
          <w:shd w:val="clear" w:color="auto" w:fill="F7F7F7"/>
        </w:rPr>
        <w:t xml:space="preserve"> </w:t>
      </w:r>
      <w:r w:rsidR="008E7789" w:rsidRPr="008E7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реализующих программы по финансовой грамотности</w:t>
      </w:r>
    </w:p>
    <w:p w:rsidR="008E7789" w:rsidRPr="008E7789" w:rsidRDefault="008E7789" w:rsidP="008E778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«</w:t>
      </w:r>
      <w:hyperlink r:id="rId11" w:history="1">
        <w:r w:rsidRPr="008E7789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shd w:val="clear" w:color="auto" w:fill="F7F7F7"/>
          </w:rPr>
          <w:t>Финансовая грамота</w:t>
        </w:r>
      </w:hyperlink>
      <w:r w:rsidRPr="008E7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» — совместный проект по повышению финансовой грамотности Российской </w:t>
      </w: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E7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экономической школы (РЭШ) и Фонда </w:t>
      </w:r>
      <w:proofErr w:type="spellStart"/>
      <w:r w:rsidRPr="008E7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Citi</w:t>
      </w:r>
      <w:proofErr w:type="spellEnd"/>
      <w:r w:rsidRPr="008E7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.</w:t>
      </w:r>
    </w:p>
    <w:p w:rsidR="008E7789" w:rsidRPr="008E7789" w:rsidRDefault="008E7789" w:rsidP="008E778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8E7789" w:rsidRPr="008E7789" w:rsidRDefault="008E7789" w:rsidP="008E778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ИНТЕРАКТИВНЫЕ МАТЕРИАЛЫ ПО ФИНАНСОВОЙ ГРАМОТНОСТИ</w:t>
      </w:r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https://happy-finance.ru/</w:t>
        </w:r>
      </w:hyperlink>
      <w:r w:rsid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- 2 настольных игры + 1 интерактивная</w:t>
      </w:r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https://quest.ncfg.ru/auth</w:t>
        </w:r>
      </w:hyperlink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финансовый детектив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finkalendar.ru - </w:t>
      </w:r>
      <w:proofErr w:type="spellStart"/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финкалендарь</w:t>
      </w:r>
      <w:proofErr w:type="spellEnd"/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(календарь финансовые событий в формате </w:t>
      </w:r>
      <w:proofErr w:type="spellStart"/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лонгрид</w:t>
      </w:r>
      <w:proofErr w:type="spellEnd"/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4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https://fingrabli.inp.ru/</w:t>
        </w:r>
      </w:hyperlink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Интерактивный игровой практикум «Финансовые грабли: береги деньги смолоду» + конкурс</w:t>
      </w:r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5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http://xn--b1agn4af.xn--80afmshcb2bdox6g.xn--p1ai/</w:t>
        </w:r>
      </w:hyperlink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  </w:t>
      </w:r>
      <w:proofErr w:type="spellStart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квест</w:t>
      </w:r>
      <w:proofErr w:type="spellEnd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«финансовые будни»</w:t>
      </w:r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6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https://intpract.oc3.ru/</w:t>
        </w:r>
      </w:hyperlink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Интерактивный практикум «Понимаю финансовый договор» + мобильное приложение Понимаю финансовый договор 4+ IT </w:t>
      </w:r>
      <w:proofErr w:type="spellStart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Agency</w:t>
      </w:r>
      <w:proofErr w:type="spellEnd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«OC3» </w:t>
      </w:r>
      <w:proofErr w:type="spellStart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Ltd</w:t>
      </w:r>
      <w:proofErr w:type="spellEnd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7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https://vlfin.ru/vlfin/delovoy-vestnik-vashi-lichnye-finansy/posmotret-zhurnal/</w:t>
        </w:r>
      </w:hyperlink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журнал Ваши личные финансы (Томская область)</w:t>
      </w:r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8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https://www.youtube.com/watch?v=wnLlMCji7dw&amp;feature=youtu.be</w:t>
        </w:r>
      </w:hyperlink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видеоинструкция к Кейс-игре «Азбука финансовой грамотности»</w:t>
      </w:r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9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http://game.educenter.ru/</w:t>
        </w:r>
      </w:hyperlink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</w:t>
      </w:r>
      <w:proofErr w:type="spellStart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Браузерная</w:t>
      </w:r>
      <w:proofErr w:type="spellEnd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игра «Первые шаги в мире финансов»</w:t>
      </w:r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0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http://fgramota.org/game/</w:t>
        </w:r>
      </w:hyperlink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Финансовая онлайн-игра «</w:t>
      </w:r>
      <w:proofErr w:type="spellStart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Portfolio</w:t>
      </w:r>
      <w:proofErr w:type="spellEnd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(с сайта «Финансовая грамота»)</w:t>
      </w:r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hyperlink r:id="rId21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 xml:space="preserve">https://vashifinancy.ru/materials-files/2.2.9. </w:t>
        </w:r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val="en-US" w:eastAsia="ru-RU"/>
          </w:rPr>
          <w:t>%D0%A4%D0%B8%D0%BD%D0%B0%D0%BD%D1%81%D0%BE%D0%B2%D1%8B%D0%B5 %D0%BA%D0%BE%D0%BC%D0%B8%D0%BA%D1%81%D1%8B/</w:t>
        </w:r>
      </w:hyperlink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 - </w:t>
      </w:r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финансовые</w:t>
      </w:r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комиксы</w:t>
      </w:r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2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https://edu.pacc.ru/informmaterialy/articles/Interaktiv/</w:t>
        </w:r>
      </w:hyperlink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 интерактивных инструкциях смоделированы ситуации взаимодействия потребителя с представителями поставщиков финансовых услуг и консультантами </w:t>
      </w:r>
      <w:proofErr w:type="spellStart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Роспотребнадзора</w:t>
      </w:r>
      <w:proofErr w:type="spellEnd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3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https://www.homecredit.ru/quest/</w:t>
        </w:r>
      </w:hyperlink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</w:t>
      </w:r>
      <w:proofErr w:type="spellStart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квест</w:t>
      </w:r>
      <w:proofErr w:type="spellEnd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банка </w:t>
      </w:r>
      <w:proofErr w:type="spellStart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Хоум</w:t>
      </w:r>
      <w:proofErr w:type="spellEnd"/>
      <w:r w:rsidR="008E7789"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кредит</w:t>
      </w:r>
    </w:p>
    <w:p w:rsidR="008E7789" w:rsidRPr="008E7789" w:rsidRDefault="008E7789" w:rsidP="008E778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МОБИЛЬНЫЕ ПРИЛОЖЕНИЯ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  <w:hyperlink r:id="rId24" w:history="1">
        <w:r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http://fg.eatek.ru/news/resursy-po-finansovoy-gramotnosti/</w:t>
        </w:r>
      </w:hyperlink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список электронных игр</w:t>
      </w:r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5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https://finuch.ru/</w:t>
        </w:r>
      </w:hyperlink>
      <w:hyperlink r:id="rId26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 - учебное пособие для студентов </w:t>
        </w:r>
      </w:hyperlink>
      <w:hyperlink r:id="rId27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https://play.google.com/store/apps/details?id=ru.msu.econ.finedu</w:t>
        </w:r>
      </w:hyperlink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8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https://play.google.com/store/apps/details?id=ru.smart.fin22.app&amp;hl=ru</w:t>
        </w:r>
      </w:hyperlink>
      <w:hyperlink r:id="rId29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 игра Финансовое просвещение</w:t>
        </w:r>
      </w:hyperlink>
    </w:p>
    <w:p w:rsidR="008E7789" w:rsidRPr="008E7789" w:rsidRDefault="008E7789" w:rsidP="008E778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ИГРЫ ПО ФИНАНСОВОЙ ГРАМОТНОСТИ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Ссылка на ресурс </w:t>
      </w:r>
      <w:hyperlink r:id="rId30" w:history="1">
        <w:r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https://doligra.ru/</w:t>
        </w:r>
      </w:hyperlink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Организатором проекта выступает Центральный банк Российской Федерации.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по финансовой грамотности познакомят самых маленьких участников с основами финансовой грамотности, а учащиеся старших классов закрепят свои знания, полученные на уроках финансовой грамотности.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Предлагаемые игры, разного формата и продолжительности, можно использовать в рамках отдельных школьных уроков, организации досуга, а также станут прекрасным дополнением к программе детского лагеря, учреждений дополнительного образования детей. Цель проекта - подбор, адаптация, апробация игр по финансовой грамотности и их распространение среди заинтересованных лиц в виде готовых "коробочных" решений.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могут проводиться как в детских лагерях дневного пребывания на базе образовательных организаций, в загородных лагерях (при условии снятия ограничений и старта летней оздоровительной кампании в 2020 году), так и в течение учебного года в образовательных организациях в рамках программ дополнительного образования.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Игровые комплекты можно получить безвозмездно и в электронном виде. Для этого необходимо пройти по ссылке: https://doligra.ru/.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 материалов содержит: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       описание целей игры, задач, базовых понятий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       подробный сценарий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       раздаточный материал, если это предусмотрено правилами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       шаблон формы отзыва для предоставления обратной связи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проведения игры заполненную форму отчета и несколько фотографий игрового процесса необходимо направить на адрес: otchet@doligra.ru. В ответ поступит именной ЭЛЕКТРОННЫЙ СЕРТИФИКАТ.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организаторов детского отдыха и педагогов регулярно проводятся </w:t>
      </w:r>
      <w:proofErr w:type="spellStart"/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вебинары</w:t>
      </w:r>
      <w:proofErr w:type="spellEnd"/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методике проведения игр и разъяснению организационных вопросов. Расписание </w:t>
      </w:r>
      <w:proofErr w:type="spellStart"/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вебинаров</w:t>
      </w:r>
      <w:proofErr w:type="spellEnd"/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опубликовано на сайте: </w:t>
      </w:r>
      <w:hyperlink r:id="rId31" w:history="1">
        <w:r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https://doligra.ru/</w:t>
        </w:r>
      </w:hyperlink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Fincult.info - информационно-просветительский ресурс, созданный Центральным банком Российской Федерации.</w:t>
      </w:r>
    </w:p>
    <w:p w:rsidR="008E7789" w:rsidRPr="008E7789" w:rsidRDefault="00E35CC0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32" w:history="1">
        <w:r w:rsidR="008E7789"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https://www.fincult.info/</w:t>
        </w:r>
      </w:hyperlink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цель — формирование финансовой культуры граждан.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Финансовая культура — это больше, чем финансовая грамотность. Она предполагает не только знания, но и ответственное отношение к финансам, а также формирование и применение навыков управления личным бюджетом. Высокий уровень финансовой культуры — это </w:t>
      </w: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важнейшее условие стабильного развития страны, от которого в конечном счете зависит и благополучие каждого гражданина.</w:t>
      </w:r>
    </w:p>
    <w:p w:rsidR="008E7789" w:rsidRPr="008E7789" w:rsidRDefault="008E7789" w:rsidP="008E778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 предназначен для широкой аудитории с разным уровнем знаний об экономике и разными финансовыми возможностями. В материалах сайта в простой форме, с некоторыми допущениями и упрощениями разбираются ситуации, с которыми может столкнуться каждый — от необходимости взять кредит и выбрать наиболее удачный вариант накопления денег до поиска оптимальной стратегии формирования будущей пенсии. Это не прямое руководство к действиям, а лишь вспомогательная информация, которую можно учитывать, чтобы не оказаться в неблагоприятной ситуации и не упустить из виду что-нибудь важное при принятии финансовых решений.</w:t>
      </w:r>
    </w:p>
    <w:p w:rsidR="008E7789" w:rsidRPr="008E7789" w:rsidRDefault="008E7789" w:rsidP="008E778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</w:pPr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Обращаем ваше внимание, что представленная на данном сайте информация служит лишь просветительским целям. Единственным источником официальной информации Банка России является сайт </w:t>
      </w:r>
      <w:hyperlink r:id="rId33" w:history="1">
        <w:r w:rsidRPr="008E778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cbr.ru</w:t>
        </w:r>
      </w:hyperlink>
      <w:r w:rsidRPr="008E7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C4F7E" w:rsidRDefault="008E7789" w:rsidP="001C4F7E">
      <w:pPr>
        <w:pStyle w:val="1"/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Style w:val="a4"/>
          <w:rFonts w:ascii="Arial" w:hAnsi="Arial" w:cs="Arial"/>
          <w:color w:val="727983"/>
          <w:shd w:val="clear" w:color="auto" w:fill="F7F7F7"/>
        </w:rPr>
        <w:t> </w:t>
      </w:r>
      <w:hyperlink r:id="rId34" w:history="1">
        <w:r w:rsidR="001C4F7E" w:rsidRPr="003A2F1A">
          <w:rPr>
            <w:rStyle w:val="a3"/>
            <w:rFonts w:ascii="Arial" w:hAnsi="Arial" w:cs="Arial"/>
            <w:shd w:val="clear" w:color="auto" w:fill="F7F7F7"/>
          </w:rPr>
          <w:t>https://fmc.hse.ru/methodology</w:t>
        </w:r>
      </w:hyperlink>
      <w:r w:rsidR="001C4F7E">
        <w:rPr>
          <w:rStyle w:val="a4"/>
          <w:rFonts w:ascii="Arial" w:hAnsi="Arial" w:cs="Arial"/>
          <w:color w:val="727983"/>
          <w:shd w:val="clear" w:color="auto" w:fill="F7F7F7"/>
        </w:rPr>
        <w:t xml:space="preserve"> </w:t>
      </w:r>
      <w:r w:rsidR="001C4F7E" w:rsidRPr="001C4F7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Учебно-методические комплексы и методические материалы по финансовой грамотности для общеобразовательных организаций</w:t>
      </w:r>
    </w:p>
    <w:p w:rsidR="001C4F7E" w:rsidRPr="001C4F7E" w:rsidRDefault="00E35CC0" w:rsidP="001C4F7E">
      <w:pPr>
        <w:pStyle w:val="1"/>
        <w:shd w:val="clear" w:color="auto" w:fill="FFFFFF"/>
        <w:spacing w:before="0" w:after="30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hyperlink r:id="rId35" w:history="1">
        <w:r w:rsidR="001C4F7E" w:rsidRPr="001C4F7E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https://fingram.rkomi.ru/pages/shkola_finansovoy_gramotnosti/pedagogu</w:t>
        </w:r>
      </w:hyperlink>
      <w:r w:rsidR="001C4F7E" w:rsidRPr="001C4F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4F7E" w:rsidRPr="001C4F7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помощь педагогу</w:t>
      </w:r>
    </w:p>
    <w:p w:rsidR="001C4F7E" w:rsidRPr="001C4F7E" w:rsidRDefault="001C4F7E" w:rsidP="001C4F7E">
      <w:pPr>
        <w:rPr>
          <w:lang w:eastAsia="ru-RU"/>
        </w:rPr>
      </w:pPr>
    </w:p>
    <w:p w:rsidR="001C4F7E" w:rsidRDefault="001C4F7E" w:rsidP="001C4F7E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4F7E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15EEF7D9" wp14:editId="0BA70525">
            <wp:extent cx="1158949" cy="382453"/>
            <wp:effectExtent l="0" t="0" r="3175" b="0"/>
            <wp:docPr id="4" name="Рисунок 4" descr="https://fingram.rkomi.ru/uploads/images/ca3bd59a1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ngram.rkomi.ru/uploads/images/ca3bd59a1d.jpe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38" cy="41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7" w:tgtFrame="_blank" w:history="1">
        <w:r w:rsidRPr="001C4F7E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Школьникам о пенсии</w:t>
        </w:r>
      </w:hyperlink>
      <w:r w:rsidRPr="001C4F7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сайт, на котором педагоги и родители могут </w:t>
      </w:r>
    </w:p>
    <w:p w:rsidR="008E7789" w:rsidRDefault="001C4F7E" w:rsidP="001C4F7E">
      <w:pPr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4F7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найти много полезной информации о пенсионной системе России</w:t>
      </w:r>
    </w:p>
    <w:p w:rsidR="001C4F7E" w:rsidRDefault="001C4F7E" w:rsidP="001C4F7E">
      <w:pPr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4F7E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22E69A2B" wp14:editId="03B5244A">
            <wp:extent cx="1515932" cy="477785"/>
            <wp:effectExtent l="0" t="0" r="8255" b="0"/>
            <wp:docPr id="5" name="Рисунок 5" descr="https://fingram.rkomi.ru/uploads/images/c1ceb70a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ngram.rkomi.ru/uploads/images/c1ceb70ab.jpe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725" cy="51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tgtFrame="_blank" w:history="1">
        <w:r w:rsidRPr="001C4F7E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Сценарии уроков по финансовой грамотности</w:t>
        </w:r>
      </w:hyperlink>
      <w:r w:rsidRPr="001C4F7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в библиотеке Московской электронной школы размещены </w:t>
      </w:r>
      <w:r w:rsidRPr="001C4F7E">
        <w:rPr>
          <w:rFonts w:ascii="Arial" w:eastAsia="Times New Roman" w:hAnsi="Arial" w:cs="Arial"/>
          <w:b/>
          <w:bCs/>
          <w:color w:val="003163"/>
          <w:sz w:val="24"/>
          <w:szCs w:val="24"/>
          <w:lang w:eastAsia="ru-RU"/>
        </w:rPr>
        <w:t>250 сценариев</w:t>
      </w:r>
      <w:r w:rsidRPr="001C4F7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уроков с элементами финансовой грамотности по таким предметам, как обществознание, всеобщая история, история России, английский язык, искусство, литература, информатика, математика. </w:t>
      </w:r>
      <w:r w:rsidRPr="001C4F7E">
        <w:rPr>
          <w:rFonts w:ascii="Arial" w:eastAsia="Times New Roman" w:hAnsi="Arial" w:cs="Arial"/>
          <w:b/>
          <w:bCs/>
          <w:color w:val="003163"/>
          <w:sz w:val="24"/>
          <w:szCs w:val="24"/>
          <w:lang w:eastAsia="ru-RU"/>
        </w:rPr>
        <w:t>Адресованы учащимся 2-11 классов</w:t>
      </w:r>
    </w:p>
    <w:p w:rsidR="001C4F7E" w:rsidRDefault="001C4F7E" w:rsidP="001C4F7E">
      <w:pPr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C4F7E" w:rsidRDefault="001C4F7E" w:rsidP="001C4F7E">
      <w:pPr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C4F7E" w:rsidRDefault="001C4F7E" w:rsidP="001C4F7E">
      <w:pPr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C4F7E" w:rsidRDefault="001C4F7E" w:rsidP="001C4F7E">
      <w:pPr>
        <w:ind w:left="-284"/>
        <w:rPr>
          <w:rStyle w:val="a4"/>
          <w:rFonts w:ascii="Arial" w:hAnsi="Arial" w:cs="Arial"/>
          <w:color w:val="727983"/>
          <w:shd w:val="clear" w:color="auto" w:fill="F7F7F7"/>
        </w:rPr>
      </w:pPr>
    </w:p>
    <w:p w:rsidR="008E7789" w:rsidRDefault="008E7789">
      <w:pPr>
        <w:rPr>
          <w:rStyle w:val="a4"/>
          <w:rFonts w:ascii="Arial" w:hAnsi="Arial" w:cs="Arial"/>
          <w:color w:val="727983"/>
          <w:shd w:val="clear" w:color="auto" w:fill="F7F7F7"/>
        </w:rPr>
      </w:pPr>
    </w:p>
    <w:p w:rsidR="00E35CC0" w:rsidRDefault="00E35CC0">
      <w:pPr>
        <w:rPr>
          <w:rStyle w:val="a4"/>
          <w:rFonts w:ascii="Arial" w:hAnsi="Arial" w:cs="Arial"/>
          <w:color w:val="727983"/>
          <w:shd w:val="clear" w:color="auto" w:fill="F7F7F7"/>
        </w:rPr>
      </w:pPr>
    </w:p>
    <w:p w:rsidR="00E35CC0" w:rsidRDefault="00E35CC0">
      <w:pPr>
        <w:rPr>
          <w:rStyle w:val="a4"/>
          <w:rFonts w:ascii="Arial" w:hAnsi="Arial" w:cs="Arial"/>
          <w:color w:val="727983"/>
          <w:shd w:val="clear" w:color="auto" w:fill="F7F7F7"/>
        </w:rPr>
      </w:pPr>
    </w:p>
    <w:p w:rsidR="00E35CC0" w:rsidRDefault="00E35CC0">
      <w:pPr>
        <w:rPr>
          <w:rStyle w:val="a4"/>
          <w:rFonts w:ascii="Arial" w:hAnsi="Arial" w:cs="Arial"/>
          <w:color w:val="727983"/>
          <w:shd w:val="clear" w:color="auto" w:fill="F7F7F7"/>
        </w:rPr>
      </w:pPr>
    </w:p>
    <w:p w:rsidR="00E35CC0" w:rsidRDefault="00E35CC0">
      <w:pPr>
        <w:rPr>
          <w:rStyle w:val="a4"/>
          <w:rFonts w:ascii="Arial" w:hAnsi="Arial" w:cs="Arial"/>
          <w:color w:val="727983"/>
          <w:shd w:val="clear" w:color="auto" w:fill="F7F7F7"/>
        </w:rPr>
      </w:pPr>
    </w:p>
    <w:p w:rsidR="00E35CC0" w:rsidRDefault="00E35CC0">
      <w:pPr>
        <w:rPr>
          <w:rStyle w:val="a4"/>
          <w:rFonts w:ascii="Arial" w:hAnsi="Arial" w:cs="Arial"/>
          <w:color w:val="727983"/>
          <w:shd w:val="clear" w:color="auto" w:fill="F7F7F7"/>
        </w:rPr>
      </w:pPr>
    </w:p>
    <w:p w:rsidR="00E35CC0" w:rsidRDefault="00E35CC0">
      <w:pPr>
        <w:rPr>
          <w:rStyle w:val="a4"/>
          <w:rFonts w:ascii="Arial" w:hAnsi="Arial" w:cs="Arial"/>
          <w:color w:val="727983"/>
          <w:shd w:val="clear" w:color="auto" w:fill="F7F7F7"/>
        </w:rPr>
      </w:pPr>
      <w:bookmarkStart w:id="0" w:name="_GoBack"/>
      <w:bookmarkEnd w:id="0"/>
    </w:p>
    <w:p w:rsidR="008E7789" w:rsidRDefault="008E7789">
      <w:pP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7F7F7"/>
        </w:rPr>
      </w:pPr>
      <w:r w:rsidRPr="008E778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7F7F7"/>
        </w:rPr>
        <w:t>Онлайн -уроки по теме "Вклады: как сохранить и приумножить". На уроке ребята узнали в чем различие простого и сложного процента по вкладу, что такое пролонгации вкладов.</w:t>
      </w:r>
    </w:p>
    <w:p w:rsidR="008E7789" w:rsidRPr="008E7789" w:rsidRDefault="008E77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7F7F7"/>
        </w:rPr>
        <w:t xml:space="preserve">Фото и сертификаты </w:t>
      </w:r>
    </w:p>
    <w:sectPr w:rsidR="008E7789" w:rsidRPr="008E7789" w:rsidSect="001C4F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useo-Sans-Cyrl-900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E7"/>
    <w:rsid w:val="001C4F7E"/>
    <w:rsid w:val="003D1430"/>
    <w:rsid w:val="00485727"/>
    <w:rsid w:val="005500E7"/>
    <w:rsid w:val="00606F4E"/>
    <w:rsid w:val="0082560E"/>
    <w:rsid w:val="008E7789"/>
    <w:rsid w:val="00AB0DE9"/>
    <w:rsid w:val="00E3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72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E77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8E77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72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E77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8E77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0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5908">
          <w:marLeft w:val="0"/>
          <w:marRight w:val="0"/>
          <w:marTop w:val="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uest.ncfg.ru/auth" TargetMode="External"/><Relationship Id="rId18" Type="http://schemas.openxmlformats.org/officeDocument/2006/relationships/hyperlink" Target="https://www.youtube.com/watch?v=wnLlMCji7dw&amp;feature=youtu.be" TargetMode="External"/><Relationship Id="rId26" Type="http://schemas.openxmlformats.org/officeDocument/2006/relationships/hyperlink" Target="https://finuch.ru/" TargetMode="External"/><Relationship Id="rId39" Type="http://schemas.openxmlformats.org/officeDocument/2006/relationships/hyperlink" Target="https://fgprofi.ru/news/%D0%A1%D0%BF%D0%B8%D1%81%D0%BE%D0%BA_%D1%83%D1%80%D0%BE%D0%BA%D0%BE%D0%B2_%D0%9C%D0%AD%D0%A8.pdf" TargetMode="External"/><Relationship Id="rId21" Type="http://schemas.openxmlformats.org/officeDocument/2006/relationships/hyperlink" Target="https://vashifinancy.ru/materials-files/2.2.9.%20%D0%A4%D0%B8%D0%BD%D0%B0%D0%BD%D1%81%D0%BE%D0%B2%D1%8B%D0%B5%20%D0%BA%D0%BE%D0%BC%D0%B8%D0%BA%D1%81%D1%8B/" TargetMode="External"/><Relationship Id="rId34" Type="http://schemas.openxmlformats.org/officeDocument/2006/relationships/hyperlink" Target="https://fmc.hse.ru/methodology" TargetMode="External"/><Relationship Id="rId7" Type="http://schemas.openxmlformats.org/officeDocument/2006/relationships/hyperlink" Target="https://dni-fg.ru/calenda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pract.oc3.ru/" TargetMode="External"/><Relationship Id="rId20" Type="http://schemas.openxmlformats.org/officeDocument/2006/relationships/hyperlink" Target="http://fgramota.org/game/" TargetMode="External"/><Relationship Id="rId29" Type="http://schemas.openxmlformats.org/officeDocument/2006/relationships/hyperlink" Target="https://finuch.ru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labs.fgramota.org/" TargetMode="External"/><Relationship Id="rId24" Type="http://schemas.openxmlformats.org/officeDocument/2006/relationships/hyperlink" Target="http://fg.eatek.ru/news/resursy-po-finansovoy-gramotnosti/" TargetMode="External"/><Relationship Id="rId32" Type="http://schemas.openxmlformats.org/officeDocument/2006/relationships/hyperlink" Target="https://www.fincult.info/" TargetMode="External"/><Relationship Id="rId37" Type="http://schemas.openxmlformats.org/officeDocument/2006/relationships/hyperlink" Target="https://school.pfrf.ru/index.htm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dni-fg.ru/" TargetMode="External"/><Relationship Id="rId15" Type="http://schemas.openxmlformats.org/officeDocument/2006/relationships/hyperlink" Target="http://xn--b1agn4af.xn--80afmshcb2bdox6g.xn--p1ai/" TargetMode="External"/><Relationship Id="rId23" Type="http://schemas.openxmlformats.org/officeDocument/2006/relationships/hyperlink" Target="https://www.homecredit.ru/quest/" TargetMode="External"/><Relationship Id="rId28" Type="http://schemas.openxmlformats.org/officeDocument/2006/relationships/hyperlink" Target="https://play.google.com/store/apps/details?id=ru.smart.fin22.app&amp;hl=ru" TargetMode="External"/><Relationship Id="rId36" Type="http://schemas.openxmlformats.org/officeDocument/2006/relationships/image" Target="media/image3.jpeg"/><Relationship Id="rId10" Type="http://schemas.openxmlformats.org/officeDocument/2006/relationships/hyperlink" Target="http://&#1092;&#1080;&#1085;&#1075;&#1088;&#1072;&#1084;&#1086;&#1090;&#1085;&#1086;&#1089;&#1090;&#1100;&#1074;&#1096;&#1082;&#1086;&#1083;&#1077;.&#1088;&#1092;/" TargetMode="External"/><Relationship Id="rId19" Type="http://schemas.openxmlformats.org/officeDocument/2006/relationships/hyperlink" Target="http://game.educenter.ru/" TargetMode="External"/><Relationship Id="rId31" Type="http://schemas.openxmlformats.org/officeDocument/2006/relationships/hyperlink" Target="https://doligr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tdl2c.xn--80aaeza4ab6aw2b2b.xn--p1ai/courses.php" TargetMode="External"/><Relationship Id="rId14" Type="http://schemas.openxmlformats.org/officeDocument/2006/relationships/hyperlink" Target="https://fingrabli.inp.ru/" TargetMode="External"/><Relationship Id="rId22" Type="http://schemas.openxmlformats.org/officeDocument/2006/relationships/hyperlink" Target="https://edu.pacc.ru/informmaterialy/articles/Interaktiv/" TargetMode="External"/><Relationship Id="rId27" Type="http://schemas.openxmlformats.org/officeDocument/2006/relationships/hyperlink" Target="https://play.google.com/store/apps/details?id=ru.msu.econ.finedu" TargetMode="External"/><Relationship Id="rId30" Type="http://schemas.openxmlformats.org/officeDocument/2006/relationships/hyperlink" Target="https://doligra.ru/" TargetMode="External"/><Relationship Id="rId35" Type="http://schemas.openxmlformats.org/officeDocument/2006/relationships/hyperlink" Target="https://fingram.rkomi.ru/pages/shkola_finansovoy_gramotnosti/pedagogu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happy-finance.ru/" TargetMode="External"/><Relationship Id="rId17" Type="http://schemas.openxmlformats.org/officeDocument/2006/relationships/hyperlink" Target="https://vlfin.ru/vlfin/delovoy-vestnik-vashi-lichnye-finansy/posmotret-zhurnal/" TargetMode="External"/><Relationship Id="rId25" Type="http://schemas.openxmlformats.org/officeDocument/2006/relationships/hyperlink" Target="https://finuch.ru/" TargetMode="External"/><Relationship Id="rId33" Type="http://schemas.openxmlformats.org/officeDocument/2006/relationships/hyperlink" Target="https://cbr.ru/" TargetMode="External"/><Relationship Id="rId3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2022-03-02T18:39:00Z</dcterms:created>
  <dcterms:modified xsi:type="dcterms:W3CDTF">2022-03-04T06:32:00Z</dcterms:modified>
</cp:coreProperties>
</file>